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B8D4D8" w14:textId="77777777" w:rsidR="009A1A51" w:rsidRPr="00CE3F4B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E3F4B">
        <w:rPr>
          <w:rFonts w:ascii="Times New Roman" w:hAnsi="Times New Roman"/>
          <w:b/>
          <w:bCs/>
          <w:lang w:val="sr-Cyrl-CS"/>
        </w:rPr>
        <w:t>Табела 5.2.</w:t>
      </w:r>
      <w:r w:rsidRPr="00CE3F4B"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14:paraId="55CA3317" w14:textId="77777777" w:rsidR="009A1A51" w:rsidRPr="00F77847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4"/>
        <w:gridCol w:w="1914"/>
        <w:gridCol w:w="1139"/>
        <w:gridCol w:w="1974"/>
        <w:gridCol w:w="1229"/>
      </w:tblGrid>
      <w:tr w:rsidR="00FC1300" w:rsidRPr="00FC1300" w14:paraId="60B279DE" w14:textId="77777777" w:rsidTr="00F700F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9D4B863" w14:textId="639CD86C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C13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Pr="00FC130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7120A8" w:rsidRPr="007120A8">
              <w:rPr>
                <w:rFonts w:ascii="Times New Roman" w:hAnsi="Times New Roman"/>
                <w:sz w:val="20"/>
                <w:szCs w:val="20"/>
              </w:rPr>
              <w:t>МАС – образовање мастер васпитача</w:t>
            </w:r>
            <w:bookmarkStart w:id="0" w:name="_GoBack"/>
            <w:bookmarkEnd w:id="0"/>
          </w:p>
        </w:tc>
      </w:tr>
      <w:tr w:rsidR="00FC1300" w:rsidRPr="00FC1300" w14:paraId="49CD53F4" w14:textId="77777777" w:rsidTr="00F700F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9FA1390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13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FC1300">
              <w:rPr>
                <w:rFonts w:ascii="Times New Roman" w:hAnsi="Times New Roman"/>
                <w:bCs/>
                <w:sz w:val="20"/>
                <w:szCs w:val="20"/>
              </w:rPr>
              <w:t>Савремени методички правци у развоју почетних математичких појмова</w:t>
            </w:r>
          </w:p>
        </w:tc>
      </w:tr>
      <w:tr w:rsidR="00FC1300" w:rsidRPr="00FC1300" w14:paraId="469C953F" w14:textId="77777777" w:rsidTr="00F700F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51A8CE8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13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FC1300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FC13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Милинковић Јасмина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; </w:t>
            </w:r>
            <w:r w:rsidRPr="00FC1300">
              <w:rPr>
                <w:rFonts w:ascii="Times New Roman" w:hAnsi="Times New Roman"/>
                <w:bCs/>
                <w:sz w:val="20"/>
                <w:szCs w:val="20"/>
              </w:rPr>
              <w:t>Зељић Маријана; Ђокић Оливера</w:t>
            </w:r>
          </w:p>
        </w:tc>
      </w:tr>
      <w:tr w:rsidR="00FC1300" w:rsidRPr="00FC1300" w14:paraId="748C0EA1" w14:textId="77777777" w:rsidTr="00F700F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0165A1F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C13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FC1300" w:rsidRPr="00FC1300" w14:paraId="5607145E" w14:textId="77777777" w:rsidTr="00F700F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C1A3F9C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13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Pr="00FC130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FC1300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</w:tr>
      <w:tr w:rsidR="00FC1300" w:rsidRPr="00FC1300" w14:paraId="2862F912" w14:textId="77777777" w:rsidTr="00F700F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8A54C0A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13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Pr="00FC130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FC1300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</w:p>
        </w:tc>
      </w:tr>
      <w:tr w:rsidR="00FC1300" w:rsidRPr="00FC1300" w14:paraId="0CEC98C6" w14:textId="77777777" w:rsidTr="00F700F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7F9EE6B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C13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A3C78A1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C13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 је теоријски и практично оспособљен за припрему и реализацију интегративних активн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 са децом.</w:t>
            </w:r>
          </w:p>
        </w:tc>
      </w:tr>
      <w:tr w:rsidR="00FC1300" w:rsidRPr="00FC1300" w14:paraId="0FFCA8C2" w14:textId="77777777" w:rsidTr="00F700F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BADA710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C13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7FEF076C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C13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 је теоријски и практично оспособљен за самостално 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FC1300">
              <w:rPr>
                <w:rFonts w:ascii="Times New Roman" w:hAnsi="Times New Roman"/>
                <w:bCs/>
                <w:sz w:val="20"/>
                <w:szCs w:val="20"/>
              </w:rPr>
              <w:t xml:space="preserve">припремање и 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критичко сагледавање математичких активности на предшколском узрасту и креативно решавање проблема који </w:t>
            </w:r>
            <w:r w:rsidRPr="00FC1300">
              <w:rPr>
                <w:rFonts w:ascii="Times New Roman" w:hAnsi="Times New Roman"/>
                <w:bCs/>
                <w:sz w:val="20"/>
                <w:szCs w:val="20"/>
              </w:rPr>
              <w:t>се сусрећу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пракси.</w:t>
            </w:r>
          </w:p>
        </w:tc>
      </w:tr>
      <w:tr w:rsidR="00FC1300" w:rsidRPr="00FC1300" w14:paraId="0709FC0C" w14:textId="77777777" w:rsidTr="00F700F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AE2CAF4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C13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</w:t>
            </w:r>
            <w:r w:rsidRPr="00FC130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</w:t>
            </w:r>
            <w:r w:rsidRPr="00FC13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та</w:t>
            </w:r>
          </w:p>
          <w:p w14:paraId="1990E07D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C130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6600D9F9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130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Савремени поступци у извођењу активности за изграђивање/формирање математичких појмова на предшколском нивоу. </w:t>
            </w:r>
            <w:r w:rsidRPr="00FC1300">
              <w:rPr>
                <w:rFonts w:ascii="Times New Roman" w:hAnsi="Times New Roman"/>
                <w:sz w:val="20"/>
                <w:szCs w:val="20"/>
              </w:rPr>
              <w:t>Иновативни модели васпитно образовног рада. Истра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ж</w:t>
            </w:r>
            <w:r w:rsidRPr="00FC1300">
              <w:rPr>
                <w:rFonts w:ascii="Times New Roman" w:hAnsi="Times New Roman"/>
                <w:sz w:val="20"/>
                <w:szCs w:val="20"/>
              </w:rPr>
              <w:t xml:space="preserve">ивачки налази о </w:t>
            </w:r>
            <w:r w:rsidRPr="00FC1300">
              <w:rPr>
                <w:rFonts w:ascii="Times New Roman" w:hAnsi="Times New Roman"/>
                <w:sz w:val="20"/>
                <w:szCs w:val="20"/>
                <w:lang w:val="ru-RU"/>
              </w:rPr>
              <w:t>изграђивање/формирање</w:t>
            </w:r>
            <w:r w:rsidRPr="00FC1300">
              <w:rPr>
                <w:rFonts w:ascii="Times New Roman" w:hAnsi="Times New Roman"/>
                <w:sz w:val="20"/>
                <w:szCs w:val="20"/>
              </w:rPr>
              <w:t xml:space="preserve"> ране математичке писмености. Развојне и индивидуалне разлике у математичких појмова. </w:t>
            </w:r>
          </w:p>
          <w:p w14:paraId="49B718FF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FC130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1046CBED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C1300">
              <w:rPr>
                <w:rFonts w:ascii="Times New Roman" w:hAnsi="Times New Roman"/>
                <w:sz w:val="20"/>
                <w:szCs w:val="20"/>
                <w:lang w:val="ru-RU"/>
              </w:rPr>
              <w:t>Планирање, припрема</w:t>
            </w:r>
            <w:r w:rsidRPr="00FC130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 </w:t>
            </w:r>
            <w:r w:rsidRPr="00FC1300">
              <w:rPr>
                <w:rFonts w:ascii="Times New Roman" w:hAnsi="Times New Roman"/>
                <w:sz w:val="20"/>
                <w:szCs w:val="20"/>
              </w:rPr>
              <w:t xml:space="preserve">и критичка анализа </w:t>
            </w:r>
            <w:r w:rsidRPr="00FC1300">
              <w:rPr>
                <w:rFonts w:ascii="Times New Roman" w:hAnsi="Times New Roman"/>
                <w:sz w:val="20"/>
                <w:szCs w:val="20"/>
                <w:lang w:val="ru-RU"/>
              </w:rPr>
              <w:t>интегративних</w:t>
            </w:r>
            <w:r w:rsidRPr="00FC130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FC1300">
              <w:rPr>
                <w:rFonts w:ascii="Times New Roman" w:hAnsi="Times New Roman"/>
                <w:sz w:val="20"/>
                <w:szCs w:val="20"/>
                <w:lang w:val="ru-RU"/>
              </w:rPr>
              <w:t>активности</w:t>
            </w:r>
            <w:r w:rsidRPr="00FC1300">
              <w:rPr>
                <w:rFonts w:ascii="Times New Roman" w:hAnsi="Times New Roman"/>
                <w:sz w:val="20"/>
                <w:szCs w:val="20"/>
                <w:lang w:val="sr-Latn-CS"/>
              </w:rPr>
              <w:t>.</w:t>
            </w:r>
          </w:p>
        </w:tc>
      </w:tr>
      <w:tr w:rsidR="00FC1300" w:rsidRPr="00FC1300" w14:paraId="7E68B0AF" w14:textId="77777777" w:rsidTr="00F700F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5170DA3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C13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072DF50" w14:textId="77777777" w:rsidR="00FC1300" w:rsidRPr="00FC1300" w:rsidRDefault="00FC1300" w:rsidP="00FC1300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C13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Booth, J. L., &amp; Siegler, R. S. (2006). Developmental and individual differences in pure numerical estimation. </w:t>
            </w:r>
            <w:r w:rsidRPr="00FC1300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  <w:t>Developmental Psychology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42, 189. </w:t>
            </w:r>
          </w:p>
          <w:p w14:paraId="51EDC346" w14:textId="77777777" w:rsidR="00FC1300" w:rsidRPr="00FC1300" w:rsidRDefault="00FC1300" w:rsidP="00FC1300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FC1300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Sarama, J. &amp; Clements, D. H. (2009). </w:t>
            </w:r>
            <w:r w:rsidRPr="00FC1300"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>Early childhood mathematics education research: Learning trajectories for young children</w:t>
            </w:r>
            <w:r w:rsidRPr="00FC1300">
              <w:rPr>
                <w:rFonts w:ascii="Times New Roman" w:hAnsi="Times New Roman"/>
                <w:sz w:val="20"/>
                <w:szCs w:val="20"/>
                <w:lang w:val="sr-Latn-RS"/>
              </w:rPr>
              <w:t>. New York: Routledge.</w:t>
            </w:r>
          </w:p>
          <w:p w14:paraId="29692BA6" w14:textId="77777777" w:rsidR="00FC1300" w:rsidRPr="00FC1300" w:rsidRDefault="00FC1300" w:rsidP="00FC1300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FC1300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Clements, D. H. &amp; Sarama, J. (2014). </w:t>
            </w:r>
            <w:r w:rsidRPr="00FC1300"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>Learning and Teaching Early Math: The Learning Trajectories Approach</w:t>
            </w:r>
            <w:r w:rsidRPr="00FC1300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2nd Edition. New York: Routledge. </w:t>
            </w:r>
          </w:p>
          <w:p w14:paraId="42BC4EBB" w14:textId="77777777" w:rsidR="00FC1300" w:rsidRPr="00FC1300" w:rsidRDefault="00FC1300" w:rsidP="00FC1300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C13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Clements, D. H., Sarama, J. H., &amp; Liu, X. H. (2008). Development of a measure of early mathematics achievement using the Rasch model: The research based early maths assessment. </w:t>
            </w:r>
            <w:r w:rsidRPr="00FC1300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  <w:t>Educational Psychology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28, 457–482.</w:t>
            </w:r>
          </w:p>
          <w:p w14:paraId="4D252417" w14:textId="77777777" w:rsidR="00FC1300" w:rsidRPr="00FC1300" w:rsidRDefault="00FC1300" w:rsidP="00FC1300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C13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Clements, D. H., Sarama, J., &amp; Wolfe, C. B. (2011). </w:t>
            </w:r>
            <w:r w:rsidRPr="00FC1300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TEAM —Tools for early assessment in mathematics. Columbus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OH: McGraw-Hill Education.</w:t>
            </w:r>
          </w:p>
          <w:p w14:paraId="24E65D20" w14:textId="77777777" w:rsidR="00FC1300" w:rsidRPr="00FC1300" w:rsidRDefault="00FC1300" w:rsidP="00FC1300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C1300">
              <w:rPr>
                <w:rFonts w:ascii="Times New Roman" w:hAnsi="Times New Roman"/>
                <w:bCs/>
                <w:sz w:val="20"/>
                <w:szCs w:val="20"/>
              </w:rPr>
              <w:t>Milinković. J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. </w:t>
            </w:r>
            <w:r w:rsidRPr="00FC1300">
              <w:rPr>
                <w:rFonts w:ascii="Times New Roman" w:hAnsi="Times New Roman"/>
                <w:bCs/>
                <w:sz w:val="20"/>
                <w:szCs w:val="20"/>
              </w:rPr>
              <w:t>(2015). Counting strategies and system of natural number representations in young children. In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:</w:t>
            </w:r>
            <w:r w:rsidRPr="00FC1300">
              <w:rPr>
                <w:rFonts w:ascii="Times New Roman" w:hAnsi="Times New Roman"/>
                <w:bCs/>
                <w:sz w:val="20"/>
                <w:szCs w:val="20"/>
              </w:rPr>
              <w:t xml:space="preserve"> San X., Kaur B., Novotná J. (Eds.). </w:t>
            </w:r>
            <w:r w:rsidRPr="00FC1300">
              <w:rPr>
                <w:rFonts w:ascii="Times New Roman" w:hAnsi="Times New Roman"/>
                <w:bCs/>
                <w:i/>
                <w:sz w:val="20"/>
                <w:szCs w:val="20"/>
              </w:rPr>
              <w:t>The Twenty-third ICMI Study: Primary Mathematics Study on Whole Numbers –Preceedings,</w:t>
            </w:r>
            <w:r w:rsidRPr="00FC1300"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 xml:space="preserve"> 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(</w:t>
            </w:r>
            <w:r w:rsidRPr="00FC1300">
              <w:rPr>
                <w:rFonts w:ascii="Times New Roman" w:hAnsi="Times New Roman"/>
                <w:bCs/>
                <w:sz w:val="20"/>
                <w:szCs w:val="20"/>
              </w:rPr>
              <w:t>212‒219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). </w:t>
            </w:r>
            <w:r w:rsidRPr="00FC1300"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>The Twenty-third ICMI Study: Primary Mathematics Study on Whole Numbers</w:t>
            </w:r>
            <w:r w:rsidRPr="00FC1300">
              <w:rPr>
                <w:rFonts w:ascii="Times New Roman" w:hAnsi="Times New Roman"/>
                <w:bCs/>
                <w:i/>
                <w:sz w:val="20"/>
                <w:szCs w:val="20"/>
              </w:rPr>
              <w:t>,</w:t>
            </w:r>
            <w:r w:rsidRPr="00FC1300"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 xml:space="preserve"> 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June 3‒7</w:t>
            </w:r>
            <w:r w:rsidRPr="00FC1300"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 xml:space="preserve">, 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2015.</w:t>
            </w:r>
            <w:r w:rsidRPr="00FC1300"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 xml:space="preserve"> </w:t>
            </w:r>
            <w:r w:rsidRPr="00FC1300">
              <w:rPr>
                <w:rFonts w:ascii="Times New Roman" w:hAnsi="Times New Roman"/>
                <w:bCs/>
                <w:sz w:val="20"/>
                <w:szCs w:val="20"/>
              </w:rPr>
              <w:t>Macau, China: The Faculty of Education, Universit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y </w:t>
            </w:r>
            <w:r w:rsidRPr="00FC1300">
              <w:rPr>
                <w:rFonts w:ascii="Times New Roman" w:hAnsi="Times New Roman"/>
                <w:bCs/>
                <w:sz w:val="20"/>
                <w:szCs w:val="20"/>
              </w:rPr>
              <w:t xml:space="preserve">of Macau. </w:t>
            </w:r>
            <w:hyperlink r:id="rId8" w:history="1">
              <w:r w:rsidRPr="00FC1300">
                <w:rPr>
                  <w:rStyle w:val="Hyperlink"/>
                  <w:rFonts w:ascii="Times New Roman" w:hAnsi="Times New Roman"/>
                  <w:b/>
                  <w:sz w:val="20"/>
                  <w:szCs w:val="20"/>
                  <w:lang w:val="sr-Cyrl-CS"/>
                </w:rPr>
                <w:t>http://www.umac.mo/fed/ICMI23/doc/Proceedings_ICMI_STUDY_23_final.pdf</w:t>
              </w:r>
            </w:hyperlink>
          </w:p>
          <w:p w14:paraId="348F5524" w14:textId="77777777" w:rsidR="00FC1300" w:rsidRPr="00FC1300" w:rsidRDefault="00FC1300" w:rsidP="00FC1300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C13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Watts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, T., 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Duncan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, G</w:t>
            </w:r>
            <w:r w:rsidRPr="00FC1300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, C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lements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, D</w:t>
            </w:r>
            <w:r w:rsidRPr="00FC1300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&amp; 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Sarama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, J. (2017).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What 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i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s the Long-Run Impact of Learning Mathematics During Preschool?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FC1300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  <w:t xml:space="preserve">Child Development. </w:t>
            </w:r>
            <w:r w:rsidRPr="00FC1300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>40</w:t>
            </w:r>
            <w:r w:rsidRPr="00FC1300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>,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1–17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</w:t>
            </w:r>
          </w:p>
          <w:p w14:paraId="79C2089C" w14:textId="77777777" w:rsidR="00FC1300" w:rsidRPr="00FC1300" w:rsidRDefault="00FC1300" w:rsidP="00FC1300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C1300">
              <w:rPr>
                <w:rFonts w:ascii="Times New Roman" w:hAnsi="Times New Roman"/>
                <w:bCs/>
                <w:sz w:val="20"/>
                <w:szCs w:val="20"/>
              </w:rPr>
              <w:t>Milinkovi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ć, J. i  Bogavac, D. (2011</w:t>
            </w:r>
            <w:r w:rsidRPr="00FC1300">
              <w:rPr>
                <w:rFonts w:ascii="Times New Roman" w:hAnsi="Times New Roman"/>
                <w:sz w:val="20"/>
                <w:szCs w:val="20"/>
                <w:lang w:val="sr-Latn-RS"/>
              </w:rPr>
              <w:t>).</w:t>
            </w:r>
            <w:r w:rsidRPr="00FC1300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Pr="00FC1300">
              <w:rPr>
                <w:rFonts w:ascii="Times New Roman" w:hAnsi="Times New Roman"/>
                <w:sz w:val="20"/>
                <w:szCs w:val="20"/>
              </w:rPr>
              <w:t>Montesory</w:t>
            </w:r>
            <w:r w:rsidRPr="00FC130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C1300">
              <w:rPr>
                <w:rFonts w:ascii="Times New Roman" w:hAnsi="Times New Roman"/>
                <w:sz w:val="20"/>
                <w:szCs w:val="20"/>
              </w:rPr>
              <w:t>method</w:t>
            </w:r>
            <w:r w:rsidRPr="00FC130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C1300">
              <w:rPr>
                <w:rFonts w:ascii="Times New Roman" w:hAnsi="Times New Roman"/>
                <w:sz w:val="20"/>
                <w:szCs w:val="20"/>
              </w:rPr>
              <w:t>as</w:t>
            </w:r>
            <w:r w:rsidRPr="00FC130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C1300">
              <w:rPr>
                <w:rFonts w:ascii="Times New Roman" w:hAnsi="Times New Roman"/>
                <w:sz w:val="20"/>
                <w:szCs w:val="20"/>
              </w:rPr>
              <w:t>a</w:t>
            </w:r>
            <w:r w:rsidRPr="00FC130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C1300">
              <w:rPr>
                <w:rFonts w:ascii="Times New Roman" w:hAnsi="Times New Roman"/>
                <w:sz w:val="20"/>
                <w:szCs w:val="20"/>
              </w:rPr>
              <w:t>basis</w:t>
            </w:r>
            <w:r w:rsidRPr="00FC130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C1300">
              <w:rPr>
                <w:rFonts w:ascii="Times New Roman" w:hAnsi="Times New Roman"/>
                <w:sz w:val="20"/>
                <w:szCs w:val="20"/>
              </w:rPr>
              <w:t>for</w:t>
            </w:r>
            <w:r w:rsidRPr="00FC130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C1300">
              <w:rPr>
                <w:rFonts w:ascii="Times New Roman" w:hAnsi="Times New Roman"/>
                <w:sz w:val="20"/>
                <w:szCs w:val="20"/>
              </w:rPr>
              <w:t>integrated</w:t>
            </w:r>
            <w:r w:rsidRPr="00FC130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C1300">
              <w:rPr>
                <w:rFonts w:ascii="Times New Roman" w:hAnsi="Times New Roman"/>
                <w:sz w:val="20"/>
                <w:szCs w:val="20"/>
              </w:rPr>
              <w:t>learning</w:t>
            </w:r>
            <w:r w:rsidRPr="00FC130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FC1300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Методички обзори</w:t>
            </w:r>
            <w:r w:rsidRPr="00FC1300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.</w:t>
            </w:r>
            <w:r w:rsidRPr="00FC1300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FC1300">
              <w:rPr>
                <w:rFonts w:ascii="Times New Roman" w:hAnsi="Times New Roman"/>
                <w:sz w:val="20"/>
                <w:szCs w:val="20"/>
              </w:rPr>
              <w:t>11 (6</w:t>
            </w:r>
            <w:r w:rsidRPr="00FC1300">
              <w:rPr>
                <w:rFonts w:ascii="Times New Roman" w:hAnsi="Times New Roman"/>
                <w:sz w:val="20"/>
                <w:szCs w:val="20"/>
                <w:lang w:val="sr-Latn-RS"/>
              </w:rPr>
              <w:t>),</w:t>
            </w:r>
            <w:r w:rsidRPr="00FC130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135</w:t>
            </w:r>
            <w:r w:rsidRPr="00FC1300">
              <w:rPr>
                <w:rFonts w:ascii="Times New Roman" w:hAnsi="Times New Roman"/>
                <w:sz w:val="20"/>
                <w:szCs w:val="20"/>
              </w:rPr>
              <w:t>-1</w:t>
            </w:r>
            <w:r w:rsidRPr="00FC1300">
              <w:rPr>
                <w:rFonts w:ascii="Times New Roman" w:hAnsi="Times New Roman"/>
                <w:sz w:val="20"/>
                <w:szCs w:val="20"/>
                <w:lang w:val="sr-Cyrl-CS"/>
              </w:rPr>
              <w:t>43.</w:t>
            </w:r>
            <w:r w:rsidRPr="00FC1300">
              <w:rPr>
                <w:rFonts w:ascii="Times New Roman" w:hAnsi="Times New Roman"/>
                <w:sz w:val="20"/>
                <w:szCs w:val="20"/>
              </w:rPr>
              <w:t xml:space="preserve"> Hrvatska</w:t>
            </w:r>
            <w:r w:rsidRPr="00FC1300">
              <w:rPr>
                <w:rFonts w:ascii="Times New Roman" w:hAnsi="Times New Roman"/>
                <w:sz w:val="20"/>
                <w:szCs w:val="20"/>
                <w:lang w:val="sr-Latn-RS"/>
              </w:rPr>
              <w:t>:</w:t>
            </w:r>
            <w:r w:rsidRPr="00FC1300">
              <w:rPr>
                <w:rFonts w:ascii="Times New Roman" w:hAnsi="Times New Roman"/>
                <w:sz w:val="20"/>
                <w:szCs w:val="20"/>
              </w:rPr>
              <w:t xml:space="preserve"> Sveučilište Jurja Dobrile u Puli</w:t>
            </w:r>
            <w:r w:rsidRPr="00FC1300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  <w:r w:rsidRPr="00FC1300">
              <w:rPr>
                <w:rFonts w:ascii="Times New Roman" w:hAnsi="Times New Roman"/>
                <w:sz w:val="20"/>
                <w:szCs w:val="20"/>
              </w:rPr>
              <w:t xml:space="preserve"> Pula, Odjel za obrazovanje učitelja i odgojitelja </w:t>
            </w:r>
          </w:p>
          <w:p w14:paraId="23D15444" w14:textId="77777777" w:rsidR="00FC1300" w:rsidRPr="00FC1300" w:rsidRDefault="00FC1300" w:rsidP="00FC1300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C13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lastRenderedPageBreak/>
              <w:t>Reid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K. 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&amp; Andrews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(2016). </w:t>
            </w:r>
            <w:r w:rsidRPr="00FC1300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  <w:t>Fostering Understanding of Early Numeracy Development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  <w:r w:rsidRPr="00FC130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Australian Council for Educational Research.</w:t>
            </w:r>
          </w:p>
          <w:p w14:paraId="309A7777" w14:textId="77777777" w:rsidR="00FC1300" w:rsidRPr="00FC1300" w:rsidRDefault="00FC1300" w:rsidP="00FC1300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C13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Siegler, R. S., Thompson, C. A., &amp; Schneider, M. (2011). An integrated theory of whole number and fractions development. </w:t>
            </w:r>
            <w:r w:rsidRPr="00FC1300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  <w:t>Cognitive Psychology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62, 273–296. </w:t>
            </w:r>
          </w:p>
          <w:p w14:paraId="30E5E400" w14:textId="77777777" w:rsidR="00FC1300" w:rsidRPr="00FC1300" w:rsidRDefault="00FC1300" w:rsidP="00FC1300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C13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Wilson, P. H., Mojica, G. F., &amp; Confrey, J. (2013). Learning trajectories in teacher education: Supporting teachers’ understandings of students’ mathematical thinking. </w:t>
            </w:r>
            <w:r w:rsidRPr="00FC1300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  <w:t>The Journal of Mathematical Behavior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32, 103–121</w:t>
            </w:r>
          </w:p>
        </w:tc>
      </w:tr>
      <w:tr w:rsidR="00FC1300" w:rsidRPr="00FC1300" w14:paraId="3BFBB43F" w14:textId="77777777" w:rsidTr="00F700FC">
        <w:trPr>
          <w:trHeight w:val="227"/>
          <w:jc w:val="center"/>
        </w:trPr>
        <w:tc>
          <w:tcPr>
            <w:tcW w:w="3094" w:type="dxa"/>
            <w:vAlign w:val="center"/>
          </w:tcPr>
          <w:p w14:paraId="114F1DDE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FC13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FC130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53" w:type="dxa"/>
            <w:gridSpan w:val="2"/>
            <w:vAlign w:val="center"/>
          </w:tcPr>
          <w:p w14:paraId="23397D88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FC130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Pr="00FC1300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03" w:type="dxa"/>
            <w:gridSpan w:val="2"/>
            <w:vAlign w:val="center"/>
          </w:tcPr>
          <w:p w14:paraId="6F918080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C130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  <w:r w:rsidRPr="00FC13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,5</w:t>
            </w:r>
          </w:p>
        </w:tc>
      </w:tr>
      <w:tr w:rsidR="00FC1300" w:rsidRPr="00FC1300" w14:paraId="7345DE02" w14:textId="77777777" w:rsidTr="00F700F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23EB791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C13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Методе извођења наставе </w:t>
            </w:r>
          </w:p>
          <w:p w14:paraId="7B1517FA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C1300">
              <w:rPr>
                <w:rFonts w:ascii="Times New Roman" w:hAnsi="Times New Roman"/>
                <w:sz w:val="20"/>
                <w:szCs w:val="20"/>
                <w:lang w:val="sr-Cyrl-CS"/>
              </w:rPr>
              <w:t>Излагање, дискусија, демонстрација, анализа наставних материјала, самостални рад на задатим задацима</w:t>
            </w:r>
            <w:r w:rsidRPr="00FC1300">
              <w:rPr>
                <w:rFonts w:ascii="Times New Roman" w:hAnsi="Times New Roman"/>
                <w:sz w:val="20"/>
                <w:szCs w:val="20"/>
                <w:lang w:val="sr-Latn-RS"/>
              </w:rPr>
              <w:t>,</w:t>
            </w:r>
            <w:r w:rsidRPr="00FC130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C1300">
              <w:rPr>
                <w:rFonts w:ascii="Times New Roman" w:hAnsi="Times New Roman"/>
                <w:sz w:val="20"/>
                <w:szCs w:val="20"/>
                <w:lang w:val="en-US"/>
              </w:rPr>
              <w:t>online</w:t>
            </w:r>
            <w:r w:rsidRPr="00FC130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C1300">
              <w:rPr>
                <w:rFonts w:ascii="Times New Roman" w:hAnsi="Times New Roman"/>
                <w:sz w:val="20"/>
                <w:szCs w:val="20"/>
                <w:lang w:val="sr-Cyrl-CS"/>
              </w:rPr>
              <w:t>настава.</w:t>
            </w:r>
          </w:p>
        </w:tc>
      </w:tr>
      <w:tr w:rsidR="00FC1300" w:rsidRPr="00FC1300" w14:paraId="2033F00A" w14:textId="77777777" w:rsidTr="00F700F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A62ED3C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C13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FC1300" w:rsidRPr="00FC1300" w14:paraId="1475D6CD" w14:textId="77777777" w:rsidTr="00F700FC">
        <w:trPr>
          <w:trHeight w:val="227"/>
          <w:jc w:val="center"/>
        </w:trPr>
        <w:tc>
          <w:tcPr>
            <w:tcW w:w="3094" w:type="dxa"/>
            <w:vAlign w:val="center"/>
          </w:tcPr>
          <w:p w14:paraId="038C6FED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FC130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4" w:type="dxa"/>
            <w:vAlign w:val="center"/>
          </w:tcPr>
          <w:p w14:paraId="3DAE84BB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C130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6B26C529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13" w:type="dxa"/>
            <w:gridSpan w:val="2"/>
            <w:shd w:val="clear" w:color="auto" w:fill="auto"/>
            <w:vAlign w:val="center"/>
          </w:tcPr>
          <w:p w14:paraId="49669DD2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C130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0C158BC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C130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FC1300" w:rsidRPr="00FC1300" w14:paraId="548ED09D" w14:textId="77777777" w:rsidTr="00F700FC">
        <w:trPr>
          <w:trHeight w:val="227"/>
          <w:jc w:val="center"/>
        </w:trPr>
        <w:tc>
          <w:tcPr>
            <w:tcW w:w="3094" w:type="dxa"/>
            <w:vAlign w:val="center"/>
          </w:tcPr>
          <w:p w14:paraId="07BE3A4A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1300">
              <w:rPr>
                <w:rFonts w:ascii="Times New Roman" w:hAnsi="Times New Roman"/>
                <w:sz w:val="20"/>
                <w:szCs w:val="20"/>
              </w:rPr>
              <w:t>пројекат</w:t>
            </w:r>
          </w:p>
        </w:tc>
        <w:tc>
          <w:tcPr>
            <w:tcW w:w="1914" w:type="dxa"/>
            <w:vAlign w:val="center"/>
          </w:tcPr>
          <w:p w14:paraId="27CED042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C13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113" w:type="dxa"/>
            <w:gridSpan w:val="2"/>
            <w:shd w:val="clear" w:color="auto" w:fill="auto"/>
            <w:vAlign w:val="center"/>
          </w:tcPr>
          <w:p w14:paraId="44184BFB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C1300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327AFC3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C1300">
              <w:rPr>
                <w:rFonts w:ascii="Times New Roman" w:hAnsi="Times New Roman"/>
                <w:sz w:val="20"/>
                <w:szCs w:val="20"/>
                <w:lang w:val="sr-Cyrl-CS"/>
              </w:rPr>
              <w:t>50</w:t>
            </w:r>
          </w:p>
        </w:tc>
      </w:tr>
      <w:tr w:rsidR="00FC1300" w:rsidRPr="00FC1300" w14:paraId="3E3EE07B" w14:textId="77777777" w:rsidTr="00F700FC">
        <w:trPr>
          <w:trHeight w:val="227"/>
          <w:jc w:val="center"/>
        </w:trPr>
        <w:tc>
          <w:tcPr>
            <w:tcW w:w="3094" w:type="dxa"/>
            <w:vAlign w:val="center"/>
          </w:tcPr>
          <w:p w14:paraId="05E5EBC8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1300">
              <w:rPr>
                <w:rFonts w:ascii="Times New Roman" w:hAnsi="Times New Roman"/>
                <w:sz w:val="20"/>
                <w:szCs w:val="20"/>
              </w:rPr>
              <w:t>практична настава</w:t>
            </w:r>
            <w:r w:rsidRPr="00FC1300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914" w:type="dxa"/>
            <w:vAlign w:val="center"/>
          </w:tcPr>
          <w:p w14:paraId="60931BD7" w14:textId="50DA71BF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</w:p>
        </w:tc>
        <w:tc>
          <w:tcPr>
            <w:tcW w:w="3113" w:type="dxa"/>
            <w:gridSpan w:val="2"/>
            <w:shd w:val="clear" w:color="auto" w:fill="auto"/>
            <w:vAlign w:val="center"/>
          </w:tcPr>
          <w:p w14:paraId="069FEC30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C1300">
              <w:rPr>
                <w:rFonts w:ascii="Times New Roman" w:hAnsi="Times New Roman"/>
                <w:sz w:val="20"/>
                <w:szCs w:val="20"/>
              </w:rPr>
              <w:t>усмени испит</w:t>
            </w:r>
            <w:r w:rsidRPr="00FC1300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4034A230" w14:textId="42D06C60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</w:tr>
      <w:tr w:rsidR="00FC1300" w:rsidRPr="00FC1300" w14:paraId="71A7A1B8" w14:textId="77777777" w:rsidTr="00F700FC">
        <w:trPr>
          <w:trHeight w:val="227"/>
          <w:jc w:val="center"/>
        </w:trPr>
        <w:tc>
          <w:tcPr>
            <w:tcW w:w="3094" w:type="dxa"/>
            <w:vAlign w:val="center"/>
          </w:tcPr>
          <w:p w14:paraId="0D36AEBF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1300">
              <w:rPr>
                <w:rFonts w:ascii="Times New Roman" w:hAnsi="Times New Roman"/>
                <w:sz w:val="20"/>
                <w:szCs w:val="20"/>
              </w:rPr>
              <w:t>колоквијум-и</w:t>
            </w:r>
            <w:r w:rsidRPr="00FC1300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914" w:type="dxa"/>
            <w:vAlign w:val="center"/>
          </w:tcPr>
          <w:p w14:paraId="05DA839F" w14:textId="674A822D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</w:p>
        </w:tc>
        <w:tc>
          <w:tcPr>
            <w:tcW w:w="3113" w:type="dxa"/>
            <w:gridSpan w:val="2"/>
            <w:shd w:val="clear" w:color="auto" w:fill="auto"/>
            <w:vAlign w:val="center"/>
          </w:tcPr>
          <w:p w14:paraId="2AF82103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0C17370D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FC1300" w:rsidRPr="00FC1300" w14:paraId="31AFC9C5" w14:textId="77777777" w:rsidTr="00F700FC">
        <w:trPr>
          <w:trHeight w:val="227"/>
          <w:jc w:val="center"/>
        </w:trPr>
        <w:tc>
          <w:tcPr>
            <w:tcW w:w="3094" w:type="dxa"/>
            <w:vAlign w:val="center"/>
          </w:tcPr>
          <w:p w14:paraId="46F4124B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C1300">
              <w:rPr>
                <w:rFonts w:ascii="Times New Roman" w:hAnsi="Times New Roman"/>
                <w:sz w:val="20"/>
                <w:szCs w:val="20"/>
                <w:lang w:val="sr-Cyrl-CS"/>
              </w:rPr>
              <w:t>семинарски рад</w:t>
            </w:r>
          </w:p>
        </w:tc>
        <w:tc>
          <w:tcPr>
            <w:tcW w:w="1914" w:type="dxa"/>
            <w:vAlign w:val="center"/>
          </w:tcPr>
          <w:p w14:paraId="1C6EAA3B" w14:textId="3070F7BA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113" w:type="dxa"/>
            <w:gridSpan w:val="2"/>
            <w:shd w:val="clear" w:color="auto" w:fill="auto"/>
            <w:vAlign w:val="center"/>
          </w:tcPr>
          <w:p w14:paraId="5C854AE3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0096BBD0" w14:textId="77777777" w:rsidR="00FC1300" w:rsidRPr="00FC1300" w:rsidRDefault="00FC1300" w:rsidP="00FC1300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</w:tbl>
    <w:p w14:paraId="762C188B" w14:textId="77777777" w:rsidR="002E6724" w:rsidRPr="00CE3F4B" w:rsidRDefault="002E6724" w:rsidP="00CE3F4B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sectPr w:rsidR="002E6724" w:rsidRPr="00CE3F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C2870C" w14:textId="77777777" w:rsidR="007D21E1" w:rsidRDefault="007D21E1" w:rsidP="0063634A">
      <w:r>
        <w:separator/>
      </w:r>
    </w:p>
  </w:endnote>
  <w:endnote w:type="continuationSeparator" w:id="0">
    <w:p w14:paraId="7E578D57" w14:textId="77777777" w:rsidR="007D21E1" w:rsidRDefault="007D21E1" w:rsidP="00636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AB3D2B" w14:textId="77777777" w:rsidR="007D21E1" w:rsidRDefault="007D21E1" w:rsidP="0063634A">
      <w:r>
        <w:separator/>
      </w:r>
    </w:p>
  </w:footnote>
  <w:footnote w:type="continuationSeparator" w:id="0">
    <w:p w14:paraId="4892D870" w14:textId="77777777" w:rsidR="007D21E1" w:rsidRDefault="007D21E1" w:rsidP="00636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97BBB"/>
    <w:multiLevelType w:val="hybridMultilevel"/>
    <w:tmpl w:val="8CC0493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15B78"/>
    <w:multiLevelType w:val="hybridMultilevel"/>
    <w:tmpl w:val="AFE8E08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E0D0C"/>
    <w:multiLevelType w:val="hybridMultilevel"/>
    <w:tmpl w:val="8B108D9E"/>
    <w:lvl w:ilvl="0" w:tplc="FA16C8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C742774"/>
    <w:multiLevelType w:val="hybridMultilevel"/>
    <w:tmpl w:val="CF5A6EF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B169FC"/>
    <w:multiLevelType w:val="hybridMultilevel"/>
    <w:tmpl w:val="C4F45854"/>
    <w:lvl w:ilvl="0" w:tplc="FA260D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48B6"/>
    <w:rsid w:val="00011E7D"/>
    <w:rsid w:val="00024179"/>
    <w:rsid w:val="000A5015"/>
    <w:rsid w:val="00164BD9"/>
    <w:rsid w:val="001B1730"/>
    <w:rsid w:val="001B7865"/>
    <w:rsid w:val="001D3935"/>
    <w:rsid w:val="0020266F"/>
    <w:rsid w:val="002405A6"/>
    <w:rsid w:val="002572E2"/>
    <w:rsid w:val="002826E8"/>
    <w:rsid w:val="002A6C5D"/>
    <w:rsid w:val="002D316A"/>
    <w:rsid w:val="002E6724"/>
    <w:rsid w:val="00305242"/>
    <w:rsid w:val="00350D5E"/>
    <w:rsid w:val="003D4091"/>
    <w:rsid w:val="00446FF2"/>
    <w:rsid w:val="00493B59"/>
    <w:rsid w:val="004B146C"/>
    <w:rsid w:val="004D013D"/>
    <w:rsid w:val="004E6CB2"/>
    <w:rsid w:val="0055152C"/>
    <w:rsid w:val="00572E2F"/>
    <w:rsid w:val="005B5028"/>
    <w:rsid w:val="0063634A"/>
    <w:rsid w:val="006414F7"/>
    <w:rsid w:val="0067289D"/>
    <w:rsid w:val="00683876"/>
    <w:rsid w:val="00686663"/>
    <w:rsid w:val="00694F7A"/>
    <w:rsid w:val="006B5D96"/>
    <w:rsid w:val="006D4E09"/>
    <w:rsid w:val="006F4180"/>
    <w:rsid w:val="00706F12"/>
    <w:rsid w:val="007120A8"/>
    <w:rsid w:val="00742736"/>
    <w:rsid w:val="0078385E"/>
    <w:rsid w:val="007A7A48"/>
    <w:rsid w:val="007C218A"/>
    <w:rsid w:val="007D21E1"/>
    <w:rsid w:val="00885772"/>
    <w:rsid w:val="008D1A71"/>
    <w:rsid w:val="00901F19"/>
    <w:rsid w:val="0090709B"/>
    <w:rsid w:val="00942322"/>
    <w:rsid w:val="00982885"/>
    <w:rsid w:val="009A1A51"/>
    <w:rsid w:val="009B7424"/>
    <w:rsid w:val="009F4018"/>
    <w:rsid w:val="00A1305D"/>
    <w:rsid w:val="00A22B10"/>
    <w:rsid w:val="00A3372F"/>
    <w:rsid w:val="00A569CD"/>
    <w:rsid w:val="00A61D30"/>
    <w:rsid w:val="00A718FD"/>
    <w:rsid w:val="00AD059D"/>
    <w:rsid w:val="00B44243"/>
    <w:rsid w:val="00B46949"/>
    <w:rsid w:val="00B92A8C"/>
    <w:rsid w:val="00C40503"/>
    <w:rsid w:val="00C7070C"/>
    <w:rsid w:val="00CA15FC"/>
    <w:rsid w:val="00CB635A"/>
    <w:rsid w:val="00CE3F4B"/>
    <w:rsid w:val="00CE798E"/>
    <w:rsid w:val="00D23A2E"/>
    <w:rsid w:val="00D445F3"/>
    <w:rsid w:val="00DA01B0"/>
    <w:rsid w:val="00DF0FDC"/>
    <w:rsid w:val="00EC74B1"/>
    <w:rsid w:val="00ED667A"/>
    <w:rsid w:val="00F13CA6"/>
    <w:rsid w:val="00F30C9B"/>
    <w:rsid w:val="00F40DBD"/>
    <w:rsid w:val="00F71E49"/>
    <w:rsid w:val="00F77847"/>
    <w:rsid w:val="00FA34D1"/>
    <w:rsid w:val="00FB0423"/>
    <w:rsid w:val="00FC1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C221D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4B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BD9"/>
    <w:rPr>
      <w:rFonts w:ascii="Segoe UI" w:eastAsia="Calibri" w:hAnsi="Segoe UI" w:cs="Segoe UI"/>
      <w:sz w:val="18"/>
      <w:szCs w:val="18"/>
      <w:lang w:val="sr-Cyrl-R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3634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634A"/>
    <w:rPr>
      <w:rFonts w:ascii="Calibri" w:eastAsia="Calibri" w:hAnsi="Calibri" w:cs="Times New Roman"/>
      <w:sz w:val="20"/>
      <w:szCs w:val="20"/>
      <w:lang w:val="sr-Cyrl-RS"/>
    </w:rPr>
  </w:style>
  <w:style w:type="character" w:styleId="FootnoteReference">
    <w:name w:val="footnote reference"/>
    <w:basedOn w:val="DefaultParagraphFont"/>
    <w:uiPriority w:val="99"/>
    <w:semiHidden/>
    <w:unhideWhenUsed/>
    <w:rsid w:val="0063634A"/>
    <w:rPr>
      <w:vertAlign w:val="superscript"/>
    </w:rPr>
  </w:style>
  <w:style w:type="paragraph" w:styleId="ListParagraph">
    <w:name w:val="List Paragraph"/>
    <w:basedOn w:val="Normal"/>
    <w:uiPriority w:val="99"/>
    <w:qFormat/>
    <w:rsid w:val="00FB042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6414F7"/>
    <w:pPr>
      <w:widowControl w:val="0"/>
      <w:autoSpaceDE w:val="0"/>
      <w:autoSpaceDN w:val="0"/>
      <w:adjustRightInd w:val="0"/>
      <w:spacing w:after="120"/>
    </w:pPr>
    <w:rPr>
      <w:rFonts w:ascii="Times New Roman" w:eastAsia="Times New Roman" w:hAnsi="Times New Roman"/>
      <w:sz w:val="20"/>
      <w:szCs w:val="20"/>
      <w:lang w:val="sr-Latn-CS" w:eastAsia="sr-Latn-CS"/>
    </w:rPr>
  </w:style>
  <w:style w:type="character" w:customStyle="1" w:styleId="BodyTextChar">
    <w:name w:val="Body Text Char"/>
    <w:basedOn w:val="DefaultParagraphFont"/>
    <w:link w:val="BodyText"/>
    <w:uiPriority w:val="99"/>
    <w:rsid w:val="006414F7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Hyperlink">
    <w:name w:val="Hyperlink"/>
    <w:uiPriority w:val="99"/>
    <w:rsid w:val="006414F7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6414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C40503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1B7865"/>
    <w:rPr>
      <w:rFonts w:ascii="Times New Roman" w:eastAsiaTheme="minorHAnsi" w:hAnsi="Times New Roman"/>
      <w:sz w:val="24"/>
      <w:szCs w:val="24"/>
      <w:lang w:val="sr-Latn-RS" w:eastAsia="sr-Latn-RS"/>
    </w:rPr>
  </w:style>
  <w:style w:type="character" w:styleId="Emphasis">
    <w:name w:val="Emphasis"/>
    <w:basedOn w:val="DefaultParagraphFont"/>
    <w:uiPriority w:val="20"/>
    <w:qFormat/>
    <w:rsid w:val="001B7865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ED667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91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mac.mo/fed/ICMI23/doc/Proceedings_ICMI_STUDY_23_final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96EF0-9471-4D08-9120-78640AA36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7</cp:revision>
  <cp:lastPrinted>2020-06-11T10:22:00Z</cp:lastPrinted>
  <dcterms:created xsi:type="dcterms:W3CDTF">2020-11-30T20:47:00Z</dcterms:created>
  <dcterms:modified xsi:type="dcterms:W3CDTF">2021-07-06T13:45:00Z</dcterms:modified>
</cp:coreProperties>
</file>